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7EA8" w14:textId="77777777" w:rsidR="003B3C8A" w:rsidRPr="00BE610C" w:rsidRDefault="000452B1" w:rsidP="00A22D45">
      <w:pPr>
        <w:jc w:val="center"/>
        <w:rPr>
          <w:b/>
        </w:rPr>
      </w:pPr>
      <w:bookmarkStart w:id="0" w:name="_GoBack"/>
      <w:bookmarkEnd w:id="0"/>
      <w:r>
        <w:rPr>
          <w:b/>
        </w:rPr>
        <w:t>International Land Use Spillovers from US Agricultural and Environmental Policies</w:t>
      </w:r>
    </w:p>
    <w:p w14:paraId="0E6FA71C" w14:textId="77777777" w:rsidR="000452B1" w:rsidRDefault="000452B1" w:rsidP="00A22D45">
      <w:pPr>
        <w:jc w:val="center"/>
      </w:pPr>
      <w:r>
        <w:t xml:space="preserve">Uris L.C. Baldos and </w:t>
      </w:r>
      <w:r w:rsidR="00884DCE">
        <w:t>Thomas Hertel</w:t>
      </w:r>
    </w:p>
    <w:p w14:paraId="6C6A99DD" w14:textId="77777777" w:rsidR="00884DCE" w:rsidRDefault="000452B1" w:rsidP="00A22D45">
      <w:pPr>
        <w:jc w:val="center"/>
      </w:pPr>
      <w:r>
        <w:t>A</w:t>
      </w:r>
      <w:r w:rsidR="00B14B50">
        <w:t>long with other collaborators, as needed</w:t>
      </w:r>
    </w:p>
    <w:p w14:paraId="509D9212" w14:textId="77777777" w:rsidR="00DB222C" w:rsidRDefault="00DB222C" w:rsidP="00A22D45">
      <w:pPr>
        <w:jc w:val="center"/>
      </w:pPr>
      <w:r>
        <w:t xml:space="preserve">(This abstract </w:t>
      </w:r>
      <w:proofErr w:type="gramStart"/>
      <w:r>
        <w:t>was prompted</w:t>
      </w:r>
      <w:proofErr w:type="gramEnd"/>
      <w:r>
        <w:t xml:space="preserve"> by a comment by Eileen McClellan at the 12/19 Board Meeting)</w:t>
      </w:r>
    </w:p>
    <w:p w14:paraId="47F98DD6" w14:textId="77777777" w:rsidR="004A6CD5" w:rsidRPr="004D380D" w:rsidRDefault="00332362">
      <w:pPr>
        <w:rPr>
          <w:b/>
        </w:rPr>
      </w:pPr>
      <w:r w:rsidRPr="004D380D">
        <w:rPr>
          <w:b/>
        </w:rPr>
        <w:t xml:space="preserve">Introduction </w:t>
      </w:r>
    </w:p>
    <w:p w14:paraId="4BC327A7" w14:textId="42D1FE02" w:rsidR="00542760" w:rsidRDefault="00DB222C" w:rsidP="005A5FB0">
      <w:r>
        <w:t xml:space="preserve">Over the past two decades, awareness of international land use change spillovers from domestic policies and methods for their analysis have dramatically increased </w:t>
      </w:r>
      <w:r>
        <w:fldChar w:fldCharType="begin"/>
      </w:r>
      <w:r w:rsidR="002F2A09">
        <w:instrText xml:space="preserve"> ADDIN ZOTERO_ITEM CSL_CITATION {"citationID":"BgX4OKWq","properties":{"formattedCitation":"(Thomas W. Hertel et al. 2019)","plainCitation":"(Thomas W. Hertel et al. 2019)","dontUpdate":true,"noteIndex":0},"citationItems":[{"id":11243,"uris":["http://zotero.org/groups/2472244/items/B7GP4P3E"],"uri":["http://zotero.org/groups/2472244/items/B7GP4P3E"],"itemData":{"id":11243,"type":"article-journal","abstract":"Global change drivers of land-use/cover change (LUCC) like population dynamics, economic development, and climate change are increasingly important to local sustainability studies, and can only be properly analyzed at fine-scales that capture local biophysical and socio-economic conditions. When sufficiently widespread, local feedback to stresses originating from global drivers can have regional, national, and even global impacts. A multiscale, global-to-local-to-global (GLG) framework is thus needed for comprehensive analyses of LUCC and leakage. The number of GLG-LUCC studies has grown substantially over the past years, but no reviews of this literature and their contributions have been completed so far. In fact, the largest body of literature pertains to global-to-local impacts exclusively, whereas research on local feedback to regional, national, and global spheres remain scarce, and are almost solely undertaken within large modeling institutes. As such, those are rarely readily accessible for modification and extension by outside contributors. This review of the recent GLG-LUCC studies calls for more open-source modeling and availability of data, arguing that the latter is the real constraint to more widespread analyses of GLG-LUCC impacts. Progress in this field will require contributions from hundreds of researchers around the world and from a wide variety of disciplines.","container-title":"Environmental Research Letters","DOI":"10.1088/1748-9326/ab0d33","ISSN":"1748-9326","issue":"5","journalAbbreviation":"Environ. Res. Lett.","language":"en","note":"publisher: IOP Publishing","page":"053003","source":"Institute of Physics","title":"A review of global-local-global linkages in economic land-use/cover change models","volume":"14","author":[{"family":"Hertel","given":"Thomas W."},{"family":"West","given":"Thales A. P."},{"family":"Börner","given":"Jan"},{"family":"Villoria","given":"Nelson B."}],"issued":{"date-parts":[["2019",5]]}}}],"schema":"https://github.com/citation-style-language/schema/raw/master/csl-citation.json"} </w:instrText>
      </w:r>
      <w:r>
        <w:fldChar w:fldCharType="separate"/>
      </w:r>
      <w:r w:rsidRPr="00DB222C">
        <w:rPr>
          <w:rFonts w:ascii="Calibri" w:hAnsi="Calibri" w:cs="Calibri"/>
        </w:rPr>
        <w:t>(Hertel et al. 2019)</w:t>
      </w:r>
      <w:r>
        <w:fldChar w:fldCharType="end"/>
      </w:r>
      <w:r>
        <w:t xml:space="preserve">. Much of this was spurred the demand for estimates of the international impacts of the US biofuels program </w:t>
      </w:r>
      <w:r>
        <w:fldChar w:fldCharType="begin"/>
      </w:r>
      <w:r w:rsidR="002F2A09">
        <w:instrText xml:space="preserve"> ADDIN ZOTERO_ITEM CSL_CITATION {"citationID":"cGbeSgbt","properties":{"formattedCitation":"(Searchinger et al. 2008; T.W. Hertel et al. 2010)","plainCitation":"(Searchinger et al. 2008; T.W. Hertel et al. 2010)","dontUpdate":true,"noteIndex":0},"citationItems":[{"id":3338,"uris":["http://zotero.org/groups/10733/items/DA5V69CQ"],"uri":["http://zotero.org/groups/10733/items/DA5V69CQ"],"itemData":{"id":3338,"type":"article-journal","abstract":"Most prior studies have found that substituting biofuels for gasoline will reduce greenhouse gases because biofuels sequester carbon through the growth of the feedstock. These analyses have failed to count the carbon emissions that occur as farmers worldwide respond to higher prices and convert forest and grassland to new cropland to replace the grain (or cropland) diverted to biofuels. By using a worldwide agricultural model to estimate emissions from land-use change, we found that corn-based ethanol, instead of producing a 20% savings, nearly doubles greenhouse emissions over 30 years and increases greenhouse gases for 167 years. Biofuels from switchgrass, if grown on U.S. corn lands, increase emissions by 50%. This result raises concerns about large biofuel mandates and highlights the value of using waste products.","container-title":"Science","DOI":"10.1126/science.1151861","issue":"5867","note":"03867","page":"1238-1240","source":"HighWire","title":"Use of U.S. Croplands for Biofuels Increases Greenhouse Gases Through Emissions from Land-Use Change","volume":"319","author":[{"family":"Searchinger","given":"Timothy"},{"family":"Heimlich","given":"Ralph"},{"family":"Houghton","given":"R. A."},{"family":"Dong","given":"Fengxia"},{"family":"Elobeid","given":"Amani"},{"family":"Fabiosa","given":"Jacinto"},{"family":"Tokgoz","given":"Simla"},{"family":"Hayes","given":"Dermot"},{"family":"Yu","given":"Tun-Hsiang"}],"issued":{"date-parts":[["2008",2,29]]}},"label":"page"},{"id":3500,"uris":["http://zotero.org/groups/10733/items/VH2XFVUH"],"uri":["http://zotero.org/groups/10733/items/VH2XFVUH"],"itemData":{"id":3500,"type":"article-journal","container-title":"Bioscience","issue":"3","title":"Effects of US Maize Ethanol on Global Land Use and Greenhouse Gas Emissions: Estimating Market-mediated Responses","title-short":"Effects of US Maize Ethanol on Global Land Use and Greenhouse Gas Emissions: Estimating Market-mediated Responses","volume":"60","author":[{"family":"Hertel","given":"T.W."},{"family":"Golub","given":"A"},{"family":"Jones","given":"A"},{"family":"O'Hare","given":"M"},{"family":"Plevin","given":"R"},{"family":"Kammen","given":"D"}],"issued":{"date-parts":[["2010"]]}},"label":"page"}],"schema":"https://github.com/citation-style-language/schema/raw/master/csl-citation.json"} </w:instrText>
      </w:r>
      <w:r>
        <w:fldChar w:fldCharType="separate"/>
      </w:r>
      <w:r w:rsidRPr="00DB222C">
        <w:rPr>
          <w:rFonts w:ascii="Calibri" w:hAnsi="Calibri" w:cs="Calibri"/>
        </w:rPr>
        <w:t>(Searchinger et al. 2008; Hertel et al. 2010)</w:t>
      </w:r>
      <w:r>
        <w:fldChar w:fldCharType="end"/>
      </w:r>
      <w:r>
        <w:t xml:space="preserve">. </w:t>
      </w:r>
      <w:r w:rsidR="000D5C95">
        <w:t xml:space="preserve">But such analyses have also extended to domestic set asides for biodiversity </w:t>
      </w:r>
      <w:r w:rsidR="000D5C95">
        <w:fldChar w:fldCharType="begin"/>
      </w:r>
      <w:r w:rsidR="000D5C95">
        <w:instrText xml:space="preserve"> ADDIN ZOTERO_ITEM CSL_CITATION {"citationID":"Qg4BVqsj","properties":{"formattedCitation":"(Pelikan, Britz, and Hertel 2015)","plainCitation":"(Pelikan, Britz, and Hertel 2015)","noteIndex":0},"citationItems":[{"id":11392,"uris":["http://zotero.org/groups/2472244/items/8NFQRUBY"],"uri":["http://zotero.org/groups/2472244/items/8NFQRUBY"],"itemData":{"id":11392,"type":"article-journal","abstract":"This paper analyses the effects of introducing biodiversity-targeted ecological focus area (EFA) requirements on all farms with arable land in the EU by quantifying their global, regional, economic and environmental impacts in a mutually consistent way. To capture these impacts, different spatial scales need to be considered – ranging from on-farm decisions regarding the EFA in the EU, to supply response around the world. In order to address this challenge, we combine the supply side of the CAPRI model, which offers high spatial, farm and policy resolution in the EU, with the GTAP model of global trade and land use. Both models are linked through a multi-product, restricted-revenue function for the EU crop sector. The results predict improved environmental status in the high-yielding regions of the EU. However, output price increases lead to intensification in the more marginal areas of the EU where little or no additional land is taken out of production. The decrease in arable land in the EU is partially compensated by an increase of crop land, as well as increased fertiliser applications, in other regions of the globe. Thus, the improvement of environmental status in the EU comes at the price of global intensification, as well as the loss of forest and grassland areas outside the EU. Overall, we find that every hectare of land that is taken out of production in the EU increases greenhouse gas emissions in the rest of the world by 20.8 tonnes CO2 equivalent.","container-title":"Journal of Agricultural Economics","DOI":"10.1111/1477-9552.12065","ISSN":"1477-9552","issue":"1","language":"en","note":"_eprint: https://onlinelibrary.wiley.com/doi/pdf/10.1111/1477-9552.12065","page":"1-19","source":"Wiley Online Library","title":"Green Light for Green Agricultural Policies? An Analysis at Regional and Global Scales","title-short":"Green Light for Green Agricultural Policies?","volume":"66","author":[{"family":"Pelikan","given":"Janine"},{"family":"Britz","given":"Wolfgang"},{"family":"Hertel","given":"Thomas W."}],"issued":{"date-parts":[["2015"]]}}}],"schema":"https://github.com/citation-style-language/schema/raw/master/csl-citation.json"} </w:instrText>
      </w:r>
      <w:r w:rsidR="000D5C95">
        <w:fldChar w:fldCharType="separate"/>
      </w:r>
      <w:r w:rsidR="000D5C95" w:rsidRPr="000D5C95">
        <w:rPr>
          <w:rFonts w:ascii="Calibri" w:hAnsi="Calibri" w:cs="Calibri"/>
        </w:rPr>
        <w:t>(Pelikan, Britz, and Hertel 2015)</w:t>
      </w:r>
      <w:r w:rsidR="000D5C95">
        <w:fldChar w:fldCharType="end"/>
      </w:r>
      <w:r w:rsidR="000D5C95">
        <w:t>. With discussion of set asides once again entering the policy debate in the US due to depressed prices (</w:t>
      </w:r>
      <w:hyperlink r:id="rId5" w:history="1">
        <w:r w:rsidR="000D5C95" w:rsidRPr="00A521DD">
          <w:rPr>
            <w:rStyle w:val="Hyperlink"/>
          </w:rPr>
          <w:t>https://farmdocdaily.illinois.edu/2020/07/land-retirement-part-ii-us-role-in-world-crop-markets-and-effectiveness-of-retiring-us-land.html</w:t>
        </w:r>
      </w:hyperlink>
      <w:r w:rsidR="000D5C95">
        <w:t>) and with the potential for increased environmental set asides under future US administrations, it is a useful time to return to this topic. We plan to consider the implications of US actions to alter patterns of land use for global environmental quality, including terrestrial carbon emissions</w:t>
      </w:r>
      <w:r w:rsidR="005822AE">
        <w:t xml:space="preserve">, </w:t>
      </w:r>
      <w:r w:rsidR="007A798F">
        <w:t xml:space="preserve">habitat for pollinators, </w:t>
      </w:r>
      <w:r w:rsidR="000D5C95">
        <w:t xml:space="preserve">biodiversity and other important metrics.   </w:t>
      </w:r>
      <w:r>
        <w:t xml:space="preserve"> </w:t>
      </w:r>
    </w:p>
    <w:p w14:paraId="18D51480" w14:textId="77777777" w:rsidR="00332362" w:rsidRPr="004D380D" w:rsidRDefault="00332362">
      <w:pPr>
        <w:rPr>
          <w:b/>
        </w:rPr>
      </w:pPr>
      <w:r w:rsidRPr="004D380D">
        <w:rPr>
          <w:b/>
        </w:rPr>
        <w:t>Method</w:t>
      </w:r>
    </w:p>
    <w:p w14:paraId="41803C61" w14:textId="250B1771" w:rsidR="00AE60B3" w:rsidRDefault="002F2A09" w:rsidP="00AE60B3">
      <w:r>
        <w:t xml:space="preserve">We plan to use the GTAP-AEZ model </w:t>
      </w:r>
      <w:r>
        <w:fldChar w:fldCharType="begin"/>
      </w:r>
      <w:r>
        <w:instrText xml:space="preserve"> ADDIN ZOTERO_ITEM CSL_CITATION {"citationID":"FrZOcnMh","properties":{"formattedCitation":"(Ramankutty et al. 2007; T. Hertel et al. 2008)","plainCitation":"(Ramankutty et al. 2007; T. Hertel et al. 2008)","noteIndex":0},"citationItems":[{"id":9398,"uris":["http://zotero.org/groups/12582/items/MDEK4X4B"],"uri":["http://zotero.org/groups/12582/items/MDEK4X4B"],"itemData":{"id":9398,"type":"book","collection-title":"Ramankutty, N., T. Hertel, H.-L. Lee, and S. K. Rose, Global Agricultural Land Use Data for Integrated Assessment Modeling, in Human-Induced Climate Change: An Interdisciplinary Assessment, edited by","title":"Global spatial data of 18 Agro-ecological Zones (AEZs)","URL":"http://www.gtap.agecon.purdue.edu/resources/res_display.asp?RecordID=3184","author":[{"family":"Ramankutty","given":"Navin"},{"family":"Hertel","given":"Thomas"},{"family":"Lee","given":"Huey-Lin"},{"family":"Rose","given":"Steven"}],"accessed":{"date-parts":[["2010",3,9]]},"issued":{"date-parts":[["2007"]]}},"label":"page"},{"id":6812,"uris":["http://zotero.org/groups/12582/items/XMDFURG4"],"uri":["http://zotero.org/groups/12582/items/XMDFURG4"],"itemData":{"id":6812,"type":"book","collection-title":"GTAP Working Paper No. 44","title":"Modeling Land-use Related Greenhouse Gas Sources and Sinks and their Mitigation Potential","URL":"http://www.gtap.agecon.purdue.edu/resources/res_display.asp?RecordID=2605","author":[{"family":"Hertel","given":"Thomas"},{"family":"Lee","given":"Huey-Lin"},{"family":"Rose","given":"Steven"},{"family":"Sohngen","given":"Brent"}],"accessed":{"date-parts":[["2010",3,29]]},"issued":{"date-parts":[["2008"]]}},"label":"page"}],"schema":"https://github.com/citation-style-language/schema/raw/master/csl-citation.json"} </w:instrText>
      </w:r>
      <w:r>
        <w:fldChar w:fldCharType="separate"/>
      </w:r>
      <w:r w:rsidRPr="002F2A09">
        <w:rPr>
          <w:rFonts w:ascii="Calibri" w:hAnsi="Calibri" w:cs="Calibri"/>
        </w:rPr>
        <w:t>(Ramankutty et al. 2007; Hertel et al. 2008)</w:t>
      </w:r>
      <w:r>
        <w:fldChar w:fldCharType="end"/>
      </w:r>
      <w:r>
        <w:t xml:space="preserve">which was originally </w:t>
      </w:r>
      <w:proofErr w:type="gramStart"/>
      <w:r>
        <w:t>developed</w:t>
      </w:r>
      <w:proofErr w:type="gramEnd"/>
      <w:r>
        <w:t xml:space="preserve"> for analysis of land-based climate mitigation policies, but has been primarily used for analysis of induced land use change related to biofuels policies. It distinguishes land endowments according to 141 countries x 18 Agro-ecological zones (3 climatic zones x 6 length of growing period intervals). Importantly, it incorporates bilateral trade patterns with econometrically estimated trade elasticities. This geography of trade is critical to understanding the way in which policies in the US are transmitted abroad </w:t>
      </w:r>
      <w:r>
        <w:fldChar w:fldCharType="begin"/>
      </w:r>
      <w:r>
        <w:instrText xml:space="preserve"> ADDIN ZOTERO_ITEM CSL_CITATION {"citationID":"5hOwCDBA","properties":{"formattedCitation":"(Villoria and Hertel 2011)","plainCitation":"(Villoria and Hertel 2011)","noteIndex":0},"citationItems":[{"id":3933,"uris":["http://zotero.org/groups/10733/items/WWGV6MHD"],"uri":["http://zotero.org/groups/10733/items/WWGV6MHD"],"itemData":{"id":3933,"type":"article-journal","abstract":"Abstract.  This article investigates the relationship between international trade patterns and the global distribution of coarse grain production responses to m","container-title":"American Journal of Agricultural Economics","DOI":"10.1093/ajae/aar025","ISSN":"0002-9092","issue":"4","journalAbbreviation":"Am J Agric Econ","language":"en","page":"919-935","source":"academic.oup.com","title":"Geography Matters: International Trade Patterns and the Indirect Land Use Effects of Biofuels","title-short":"Geography Matters","volume":"93","author":[{"family":"Villoria","given":"Nelson B."},{"family":"Hertel","given":"Thomas W."}],"issued":{"date-parts":[["2011",7,1]]}}}],"schema":"https://github.com/citation-style-language/schema/raw/master/csl-citation.json"} </w:instrText>
      </w:r>
      <w:r>
        <w:fldChar w:fldCharType="separate"/>
      </w:r>
      <w:r w:rsidRPr="002F2A09">
        <w:rPr>
          <w:rFonts w:ascii="Calibri" w:hAnsi="Calibri" w:cs="Calibri"/>
        </w:rPr>
        <w:t>(</w:t>
      </w:r>
      <w:proofErr w:type="spellStart"/>
      <w:r w:rsidRPr="002F2A09">
        <w:rPr>
          <w:rFonts w:ascii="Calibri" w:hAnsi="Calibri" w:cs="Calibri"/>
        </w:rPr>
        <w:t>Villoria</w:t>
      </w:r>
      <w:proofErr w:type="spellEnd"/>
      <w:r w:rsidRPr="002F2A09">
        <w:rPr>
          <w:rFonts w:ascii="Calibri" w:hAnsi="Calibri" w:cs="Calibri"/>
        </w:rPr>
        <w:t xml:space="preserve"> and Hertel 2011)</w:t>
      </w:r>
      <w:r>
        <w:fldChar w:fldCharType="end"/>
      </w:r>
      <w:r>
        <w:t>.</w:t>
      </w:r>
      <w:r w:rsidR="007A798F">
        <w:t xml:space="preserve"> </w:t>
      </w:r>
      <w:r w:rsidR="00525413">
        <w:t xml:space="preserve">We will be </w:t>
      </w:r>
      <w:r w:rsidR="00827A38">
        <w:t>using</w:t>
      </w:r>
      <w:r w:rsidR="00AA49E2">
        <w:t xml:space="preserve"> available</w:t>
      </w:r>
      <w:r w:rsidR="00525413">
        <w:t xml:space="preserve"> environmental spatial data including biodiversity</w:t>
      </w:r>
      <w:r w:rsidR="007A798F" w:rsidRPr="007A798F">
        <w:t xml:space="preserve"> hotspot</w:t>
      </w:r>
      <w:r w:rsidR="00525413">
        <w:t xml:space="preserve"> maps by </w:t>
      </w:r>
      <w:r w:rsidR="007A798F" w:rsidRPr="007A798F">
        <w:t xml:space="preserve">Jenkins </w:t>
      </w:r>
      <w:r w:rsidR="00525413">
        <w:t>et al (</w:t>
      </w:r>
      <w:r w:rsidR="004C1C9B">
        <w:t>2013</w:t>
      </w:r>
      <w:r w:rsidR="007A798F" w:rsidRPr="007A798F">
        <w:t>)</w:t>
      </w:r>
      <w:r w:rsidR="00525413">
        <w:t xml:space="preserve"> and carbon stock maps from West et al (</w:t>
      </w:r>
      <w:r w:rsidR="004C1C9B">
        <w:t>2010</w:t>
      </w:r>
      <w:r w:rsidR="00525413">
        <w:t xml:space="preserve">). </w:t>
      </w:r>
      <w:r>
        <w:t xml:space="preserve">We will confer with members of the Advisory Board to determine the most relevant domestic policies to </w:t>
      </w:r>
      <w:proofErr w:type="gramStart"/>
      <w:r>
        <w:t>be considered</w:t>
      </w:r>
      <w:proofErr w:type="gramEnd"/>
      <w:r>
        <w:t>.</w:t>
      </w:r>
    </w:p>
    <w:p w14:paraId="6F9932D2" w14:textId="77777777" w:rsidR="000D5C95" w:rsidRPr="002F2A09" w:rsidRDefault="000D5C95" w:rsidP="00AE60B3">
      <w:pPr>
        <w:rPr>
          <w:b/>
        </w:rPr>
      </w:pPr>
      <w:r w:rsidRPr="002F2A09">
        <w:rPr>
          <w:b/>
        </w:rPr>
        <w:t>References</w:t>
      </w:r>
    </w:p>
    <w:p w14:paraId="633F9D78" w14:textId="77777777" w:rsidR="002F2A09" w:rsidRPr="002F2A09" w:rsidRDefault="002F2A09" w:rsidP="002F2A09">
      <w:pPr>
        <w:pStyle w:val="Bibliography"/>
        <w:rPr>
          <w:rFonts w:ascii="Calibri" w:hAnsi="Calibri" w:cs="Calibri"/>
        </w:rPr>
      </w:pPr>
      <w:r>
        <w:fldChar w:fldCharType="begin"/>
      </w:r>
      <w:r>
        <w:instrText xml:space="preserve"> ADDIN ZOTERO_BIBL {"uncited":[],"omitted":[],"custom":[]} CSL_BIBLIOGRAPHY </w:instrText>
      </w:r>
      <w:r>
        <w:fldChar w:fldCharType="separate"/>
      </w:r>
      <w:r w:rsidRPr="002F2A09">
        <w:rPr>
          <w:rFonts w:ascii="Calibri" w:hAnsi="Calibri" w:cs="Calibri"/>
        </w:rPr>
        <w:t xml:space="preserve">Hertel, Thomas, Huey-Lin Lee, Steven Rose, and Brent Sohngen. 2008. </w:t>
      </w:r>
      <w:r w:rsidRPr="002F2A09">
        <w:rPr>
          <w:rFonts w:ascii="Calibri" w:hAnsi="Calibri" w:cs="Calibri"/>
          <w:i/>
          <w:iCs/>
        </w:rPr>
        <w:t>Modeling Land-Use Related Greenhouse Gas Sources and Sinks and Their Mitigation Potential</w:t>
      </w:r>
      <w:r w:rsidRPr="002F2A09">
        <w:rPr>
          <w:rFonts w:ascii="Calibri" w:hAnsi="Calibri" w:cs="Calibri"/>
        </w:rPr>
        <w:t>. GTAP Working Paper No. 44. http://www.gtap.agecon.purdue.edu/resources/res_display.asp?RecordID=2605.</w:t>
      </w:r>
    </w:p>
    <w:p w14:paraId="1A88F61D" w14:textId="77777777" w:rsidR="002F2A09" w:rsidRPr="002F2A09" w:rsidRDefault="002F2A09" w:rsidP="002F2A09">
      <w:pPr>
        <w:pStyle w:val="Bibliography"/>
        <w:rPr>
          <w:rFonts w:ascii="Calibri" w:hAnsi="Calibri" w:cs="Calibri"/>
        </w:rPr>
      </w:pPr>
      <w:r w:rsidRPr="002F2A09">
        <w:rPr>
          <w:rFonts w:ascii="Calibri" w:hAnsi="Calibri" w:cs="Calibri"/>
        </w:rPr>
        <w:t xml:space="preserve">Hertel, Thomas W., Thales A. P. West, Jan Börner, and Nelson B. Villoria. 2019. “A Review of Global-Local-Global Linkages in Economic Land-Use/Cover Change Models.” </w:t>
      </w:r>
      <w:r w:rsidRPr="002F2A09">
        <w:rPr>
          <w:rFonts w:ascii="Calibri" w:hAnsi="Calibri" w:cs="Calibri"/>
          <w:i/>
          <w:iCs/>
        </w:rPr>
        <w:t>Environmental Research Letters</w:t>
      </w:r>
      <w:r w:rsidRPr="002F2A09">
        <w:rPr>
          <w:rFonts w:ascii="Calibri" w:hAnsi="Calibri" w:cs="Calibri"/>
        </w:rPr>
        <w:t xml:space="preserve"> 14 (5): 053003. https://doi.org/10.1088/1748-9326/ab0d33.</w:t>
      </w:r>
    </w:p>
    <w:p w14:paraId="2F295D90" w14:textId="358F217E" w:rsidR="00525413" w:rsidRDefault="002F2A09" w:rsidP="002F2A09">
      <w:pPr>
        <w:pStyle w:val="Bibliography"/>
        <w:rPr>
          <w:rFonts w:ascii="Calibri" w:hAnsi="Calibri" w:cs="Calibri"/>
        </w:rPr>
      </w:pPr>
      <w:r w:rsidRPr="002F2A09">
        <w:rPr>
          <w:rFonts w:ascii="Calibri" w:hAnsi="Calibri" w:cs="Calibri"/>
        </w:rPr>
        <w:t xml:space="preserve">Hertel, T.W., A Golub, A Jones, M O’Hare, R Plevin, and D Kammen. 2010. “Effects of US Maize Ethanol on Global Land Use and Greenhouse Gas Emissions: Estimating Market-Mediated Responses.” </w:t>
      </w:r>
      <w:r w:rsidRPr="002F2A09">
        <w:rPr>
          <w:rFonts w:ascii="Calibri" w:hAnsi="Calibri" w:cs="Calibri"/>
          <w:i/>
          <w:iCs/>
        </w:rPr>
        <w:t>Bioscience</w:t>
      </w:r>
      <w:r w:rsidRPr="002F2A09">
        <w:rPr>
          <w:rFonts w:ascii="Calibri" w:hAnsi="Calibri" w:cs="Calibri"/>
        </w:rPr>
        <w:t xml:space="preserve"> 60 (3).</w:t>
      </w:r>
    </w:p>
    <w:p w14:paraId="0698AA04" w14:textId="4D3E42BC" w:rsidR="00525413" w:rsidRDefault="00525413" w:rsidP="002F2A09">
      <w:pPr>
        <w:pStyle w:val="Bibliography"/>
        <w:rPr>
          <w:rFonts w:ascii="Calibri" w:hAnsi="Calibri" w:cs="Calibri"/>
        </w:rPr>
      </w:pPr>
      <w:r w:rsidRPr="00525413">
        <w:rPr>
          <w:rFonts w:ascii="Calibri" w:hAnsi="Calibri" w:cs="Calibri"/>
        </w:rPr>
        <w:t>Jenkins, Clinton N., Stuart L. Pimm, and Lucas N. Joppa. “Global Patterns of Terrestrial Vertebrate Diversity and Conservation.” Proceedings of the National Academy of Sciences 110, no. 28 (July 9, 2013): E2602–10. https://doi.org/10.1073/pnas.1302251110.</w:t>
      </w:r>
    </w:p>
    <w:p w14:paraId="763EDA79" w14:textId="60F73427" w:rsidR="002F2A09" w:rsidRPr="002F2A09" w:rsidRDefault="002F2A09" w:rsidP="002F2A09">
      <w:pPr>
        <w:pStyle w:val="Bibliography"/>
        <w:rPr>
          <w:rFonts w:ascii="Calibri" w:hAnsi="Calibri" w:cs="Calibri"/>
        </w:rPr>
      </w:pPr>
      <w:r w:rsidRPr="002F2A09">
        <w:rPr>
          <w:rFonts w:ascii="Calibri" w:hAnsi="Calibri" w:cs="Calibri"/>
        </w:rPr>
        <w:lastRenderedPageBreak/>
        <w:t xml:space="preserve">Pelikan, Janine, Wolfgang Britz, and Thomas W. Hertel. 2015. “Green Light for Green Agricultural Policies? An Analysis at Regional and Global Scales.” </w:t>
      </w:r>
      <w:r w:rsidRPr="002F2A09">
        <w:rPr>
          <w:rFonts w:ascii="Calibri" w:hAnsi="Calibri" w:cs="Calibri"/>
          <w:i/>
          <w:iCs/>
        </w:rPr>
        <w:t>Journal of Agricultural Economics</w:t>
      </w:r>
      <w:r w:rsidRPr="002F2A09">
        <w:rPr>
          <w:rFonts w:ascii="Calibri" w:hAnsi="Calibri" w:cs="Calibri"/>
        </w:rPr>
        <w:t xml:space="preserve"> 66 (1): 1–19. https://doi.org/10.1111/1477-9552.12065.</w:t>
      </w:r>
    </w:p>
    <w:p w14:paraId="64504BD7" w14:textId="77777777" w:rsidR="002F2A09" w:rsidRPr="002F2A09" w:rsidRDefault="002F2A09" w:rsidP="002F2A09">
      <w:pPr>
        <w:pStyle w:val="Bibliography"/>
        <w:rPr>
          <w:rFonts w:ascii="Calibri" w:hAnsi="Calibri" w:cs="Calibri"/>
        </w:rPr>
      </w:pPr>
      <w:r w:rsidRPr="002F2A09">
        <w:rPr>
          <w:rFonts w:ascii="Calibri" w:hAnsi="Calibri" w:cs="Calibri"/>
        </w:rPr>
        <w:t xml:space="preserve">Ramankutty, Navin, Thomas Hertel, Huey-Lin Lee, and Steven Rose. 2007. </w:t>
      </w:r>
      <w:r w:rsidRPr="002F2A09">
        <w:rPr>
          <w:rFonts w:ascii="Calibri" w:hAnsi="Calibri" w:cs="Calibri"/>
          <w:i/>
          <w:iCs/>
        </w:rPr>
        <w:t>Global Spatial Data of 18 Agro-Ecological Zones (AEZs)</w:t>
      </w:r>
      <w:r w:rsidRPr="002F2A09">
        <w:rPr>
          <w:rFonts w:ascii="Calibri" w:hAnsi="Calibri" w:cs="Calibri"/>
        </w:rPr>
        <w:t>. Ramankutty, N., T. Hertel, H.-L. Lee, and S. K. Rose, Global Agricultural Land Use Data for Integrated Assessment Modeling, in Human-Induced Climate Change: An Interdisciplinary Assessment, Edited By. http://www.gtap.agecon.purdue.edu/resources/res_display.asp?RecordID=3184.</w:t>
      </w:r>
    </w:p>
    <w:p w14:paraId="777A68EB" w14:textId="50925168" w:rsidR="002F2A09" w:rsidRDefault="002F2A09" w:rsidP="002F2A09">
      <w:pPr>
        <w:pStyle w:val="Bibliography"/>
        <w:rPr>
          <w:rFonts w:ascii="Calibri" w:hAnsi="Calibri" w:cs="Calibri"/>
        </w:rPr>
      </w:pPr>
      <w:r w:rsidRPr="002F2A09">
        <w:rPr>
          <w:rFonts w:ascii="Calibri" w:hAnsi="Calibri" w:cs="Calibri"/>
        </w:rPr>
        <w:t xml:space="preserve">Searchinger, Timothy, Ralph Heimlich, R. A. Houghton, Fengxia Dong, Amani Elobeid, Jacinto Fabiosa, Simla Tokgoz, Dermot Hayes, and Tun-Hsiang Yu. 2008. “Use of U.S. Croplands for Biofuels Increases Greenhouse Gases Through Emissions from Land-Use Change.” </w:t>
      </w:r>
      <w:r w:rsidRPr="002F2A09">
        <w:rPr>
          <w:rFonts w:ascii="Calibri" w:hAnsi="Calibri" w:cs="Calibri"/>
          <w:i/>
          <w:iCs/>
        </w:rPr>
        <w:t>Science</w:t>
      </w:r>
      <w:r w:rsidRPr="002F2A09">
        <w:rPr>
          <w:rFonts w:ascii="Calibri" w:hAnsi="Calibri" w:cs="Calibri"/>
        </w:rPr>
        <w:t xml:space="preserve"> 319 (5867): 1238–40. https://doi.org/10.1126/science.1151861.</w:t>
      </w:r>
    </w:p>
    <w:p w14:paraId="4BA6C37F" w14:textId="4F04B7A3" w:rsidR="00525413" w:rsidRDefault="00525413" w:rsidP="00525413">
      <w:pPr>
        <w:ind w:left="720" w:hanging="720"/>
        <w:rPr>
          <w:rFonts w:ascii="Calibri" w:hAnsi="Calibri" w:cs="Calibri"/>
        </w:rPr>
      </w:pPr>
      <w:r w:rsidRPr="00525413">
        <w:t>West, Paul C., Holly K. Gibbs, Chad Monfreda, John Wagner, Carol C. Barford, Stephen R. Carpenter, and Jonathan A. Foley. “Trading Carbon for Food: Global Comparison of Carbon Stocks vs. Crop Yields on Agricultural Land.” Proceedings of the National Academy of Sciences, November 1, 2010. https://doi.org/10.1073/pnas.1011078107.</w:t>
      </w:r>
    </w:p>
    <w:p w14:paraId="2E17FC34" w14:textId="6A8D5946" w:rsidR="002F2A09" w:rsidRPr="002F2A09" w:rsidRDefault="002F2A09" w:rsidP="008756AC">
      <w:pPr>
        <w:ind w:left="720" w:hanging="720"/>
        <w:rPr>
          <w:rFonts w:ascii="Calibri" w:hAnsi="Calibri" w:cs="Calibri"/>
        </w:rPr>
      </w:pPr>
      <w:r w:rsidRPr="002F2A09">
        <w:rPr>
          <w:rFonts w:ascii="Calibri" w:hAnsi="Calibri" w:cs="Calibri"/>
        </w:rPr>
        <w:t xml:space="preserve">Villoria, Nelson B., and Thomas W. Hertel. 2011. “Geography Matters: International Trade Patterns and the Indirect Land Use Effects of Biofuels.” </w:t>
      </w:r>
      <w:r w:rsidRPr="002F2A09">
        <w:rPr>
          <w:rFonts w:ascii="Calibri" w:hAnsi="Calibri" w:cs="Calibri"/>
          <w:i/>
          <w:iCs/>
        </w:rPr>
        <w:t>American Journal of Agricultural Economics</w:t>
      </w:r>
      <w:r w:rsidRPr="002F2A09">
        <w:rPr>
          <w:rFonts w:ascii="Calibri" w:hAnsi="Calibri" w:cs="Calibri"/>
        </w:rPr>
        <w:t xml:space="preserve"> 93 (4): 919–35. https://doi.org/10.1093/ajae/aar025.</w:t>
      </w:r>
    </w:p>
    <w:p w14:paraId="6933220B" w14:textId="77777777" w:rsidR="000D5C95" w:rsidRDefault="002F2A09" w:rsidP="00AE60B3">
      <w:r>
        <w:fldChar w:fldCharType="end"/>
      </w:r>
    </w:p>
    <w:sectPr w:rsidR="000D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A7929"/>
    <w:multiLevelType w:val="hybridMultilevel"/>
    <w:tmpl w:val="E8F47674"/>
    <w:lvl w:ilvl="0" w:tplc="3A8A427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62"/>
    <w:rsid w:val="00041D07"/>
    <w:rsid w:val="000452B1"/>
    <w:rsid w:val="00055986"/>
    <w:rsid w:val="00056C52"/>
    <w:rsid w:val="0006776D"/>
    <w:rsid w:val="0009385C"/>
    <w:rsid w:val="00096DD5"/>
    <w:rsid w:val="000D5C95"/>
    <w:rsid w:val="000F114B"/>
    <w:rsid w:val="00117ADD"/>
    <w:rsid w:val="00292890"/>
    <w:rsid w:val="002F2A09"/>
    <w:rsid w:val="003118A7"/>
    <w:rsid w:val="00332362"/>
    <w:rsid w:val="003B3C8A"/>
    <w:rsid w:val="004323F0"/>
    <w:rsid w:val="004A6CD5"/>
    <w:rsid w:val="004C1C9B"/>
    <w:rsid w:val="004D380D"/>
    <w:rsid w:val="004E78DA"/>
    <w:rsid w:val="00505512"/>
    <w:rsid w:val="00525413"/>
    <w:rsid w:val="00542760"/>
    <w:rsid w:val="005822AE"/>
    <w:rsid w:val="005A5FB0"/>
    <w:rsid w:val="005B7BD2"/>
    <w:rsid w:val="00601A62"/>
    <w:rsid w:val="0060375D"/>
    <w:rsid w:val="006C41CD"/>
    <w:rsid w:val="00731CC5"/>
    <w:rsid w:val="007A5BE9"/>
    <w:rsid w:val="007A798F"/>
    <w:rsid w:val="00802E87"/>
    <w:rsid w:val="00812F3C"/>
    <w:rsid w:val="00827A38"/>
    <w:rsid w:val="008756AC"/>
    <w:rsid w:val="00884DCE"/>
    <w:rsid w:val="00956932"/>
    <w:rsid w:val="00994DE7"/>
    <w:rsid w:val="00A22D45"/>
    <w:rsid w:val="00AA49E2"/>
    <w:rsid w:val="00AE60B3"/>
    <w:rsid w:val="00B14B50"/>
    <w:rsid w:val="00B87D04"/>
    <w:rsid w:val="00BB5BE0"/>
    <w:rsid w:val="00BB5E8D"/>
    <w:rsid w:val="00BE610C"/>
    <w:rsid w:val="00C22121"/>
    <w:rsid w:val="00C41CDD"/>
    <w:rsid w:val="00CC1BE9"/>
    <w:rsid w:val="00CF598E"/>
    <w:rsid w:val="00D76BC8"/>
    <w:rsid w:val="00DA4BF8"/>
    <w:rsid w:val="00DB222C"/>
    <w:rsid w:val="00E126B4"/>
    <w:rsid w:val="00E56AD2"/>
    <w:rsid w:val="00F20402"/>
    <w:rsid w:val="00F72F2C"/>
    <w:rsid w:val="00FD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CC21"/>
  <w15:chartTrackingRefBased/>
  <w15:docId w15:val="{98D8B1D7-D374-4761-9052-CDD17B0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4B"/>
    <w:pPr>
      <w:ind w:left="720"/>
      <w:contextualSpacing/>
    </w:pPr>
  </w:style>
  <w:style w:type="character" w:styleId="Hyperlink">
    <w:name w:val="Hyperlink"/>
    <w:basedOn w:val="DefaultParagraphFont"/>
    <w:uiPriority w:val="99"/>
    <w:unhideWhenUsed/>
    <w:rsid w:val="000D5C95"/>
    <w:rPr>
      <w:color w:val="0563C1" w:themeColor="hyperlink"/>
      <w:u w:val="single"/>
    </w:rPr>
  </w:style>
  <w:style w:type="paragraph" w:styleId="Bibliography">
    <w:name w:val="Bibliography"/>
    <w:basedOn w:val="Normal"/>
    <w:next w:val="Normal"/>
    <w:uiPriority w:val="37"/>
    <w:unhideWhenUsed/>
    <w:rsid w:val="002F2A09"/>
    <w:pPr>
      <w:spacing w:after="0" w:line="240" w:lineRule="auto"/>
      <w:ind w:left="720" w:hanging="720"/>
    </w:pPr>
  </w:style>
  <w:style w:type="paragraph" w:styleId="BalloonText">
    <w:name w:val="Balloon Text"/>
    <w:basedOn w:val="Normal"/>
    <w:link w:val="BalloonTextChar"/>
    <w:uiPriority w:val="99"/>
    <w:semiHidden/>
    <w:unhideWhenUsed/>
    <w:rsid w:val="007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rmdocdaily.illinois.edu/2020/07/land-retirement-part-ii-us-role-in-world-crop-markets-and-effectiveness-of-retiring-us-l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Jing</dc:creator>
  <cp:keywords/>
  <dc:description/>
  <cp:lastModifiedBy>Hertel, Thomas W.</cp:lastModifiedBy>
  <cp:revision>2</cp:revision>
  <dcterms:created xsi:type="dcterms:W3CDTF">2020-07-31T19:10:00Z</dcterms:created>
  <dcterms:modified xsi:type="dcterms:W3CDTF">2020-07-31T19:10:00Z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id="qJP1z15W"/&gt;&lt;style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