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7ED9F" w14:textId="5BC4F9AE" w:rsidR="00395B85" w:rsidRDefault="00395B85" w:rsidP="00395B85">
      <w:pPr>
        <w:rPr>
          <w:b/>
          <w:bCs/>
        </w:rPr>
      </w:pPr>
      <w:bookmarkStart w:id="0" w:name="_GoBack"/>
      <w:bookmarkEnd w:id="0"/>
      <w:r>
        <w:rPr>
          <w:b/>
          <w:bCs/>
        </w:rPr>
        <w:t xml:space="preserve">Flexible options for carbon taxes to achieve Paris Agreement </w:t>
      </w:r>
      <w:r w:rsidR="00C94C3A">
        <w:rPr>
          <w:b/>
          <w:bCs/>
        </w:rPr>
        <w:t xml:space="preserve">targets: implications for land systems change, </w:t>
      </w:r>
      <w:r w:rsidR="00C94C3A" w:rsidRPr="00C94C3A">
        <w:rPr>
          <w:b/>
          <w:bCs/>
        </w:rPr>
        <w:t>water use and nitrogen leaching</w:t>
      </w:r>
    </w:p>
    <w:p w14:paraId="0133ACAE" w14:textId="1026999F" w:rsidR="00395B85" w:rsidRPr="00395B85" w:rsidRDefault="00395B85" w:rsidP="00395B85">
      <w:r w:rsidRPr="00395B85">
        <w:t>Chepelie</w:t>
      </w:r>
      <w:r w:rsidR="00B01DB0">
        <w:t>v, van der Mensbrugghe, Baldos, Hertel</w:t>
      </w:r>
      <w:r w:rsidR="00D44F8D">
        <w:t>, Johnson</w:t>
      </w:r>
      <w:r w:rsidR="00B01DB0">
        <w:t xml:space="preserve"> &amp; Others</w:t>
      </w:r>
    </w:p>
    <w:p w14:paraId="5D051863" w14:textId="2EAB7BC0" w:rsidR="000515BF" w:rsidRDefault="00395B85" w:rsidP="00395B85">
      <w:r>
        <w:t>Virtually all of the countries in the world signed the 2016 Paris Agreement whose objective is to “</w:t>
      </w:r>
      <w:r w:rsidR="00D77295">
        <w:t>h</w:t>
      </w:r>
      <w:r>
        <w:t>old the increase in the global average temperature to well below 2°C above pre-industrial levels and pursue efforts to limit the temperature increase to 1.5°C above pre-industrial levels…”</w:t>
      </w:r>
      <w:r w:rsidR="00D65C66">
        <w:t xml:space="preserve"> (UNFCCC, 2020)</w:t>
      </w:r>
      <w:r>
        <w:t xml:space="preserve">. As such, </w:t>
      </w:r>
      <w:r w:rsidR="00D65C66">
        <w:t>19</w:t>
      </w:r>
      <w:r w:rsidR="00FE7B5C">
        <w:t>5</w:t>
      </w:r>
      <w:r w:rsidR="00D65C66">
        <w:t xml:space="preserve"> parties</w:t>
      </w:r>
      <w:r w:rsidR="00FE7B5C">
        <w:t>, including the European Union,</w:t>
      </w:r>
      <w:r w:rsidR="00D65C66">
        <w:t xml:space="preserve"> </w:t>
      </w:r>
      <w:r>
        <w:t xml:space="preserve">have submitted their </w:t>
      </w:r>
      <w:r w:rsidR="00D77295">
        <w:t xml:space="preserve">individual </w:t>
      </w:r>
      <w:r>
        <w:t>commitment</w:t>
      </w:r>
      <w:r w:rsidR="000515BF">
        <w:t>, also called the Nationally Determined Contribution (NDC),</w:t>
      </w:r>
      <w:r>
        <w:t xml:space="preserve"> and action plans to achieve their commitments through 2030.</w:t>
      </w:r>
      <w:r w:rsidR="00D77295">
        <w:rPr>
          <w:rStyle w:val="FootnoteReference"/>
        </w:rPr>
        <w:footnoteReference w:id="1"/>
      </w:r>
      <w:r>
        <w:t xml:space="preserve"> The economic modeling community has developed various interpretations of the commitments, largely translating these into required emission reductions by 2030 </w:t>
      </w:r>
      <w:r w:rsidR="00D77295">
        <w:t xml:space="preserve">relative to baseline emissions, </w:t>
      </w:r>
      <w:r>
        <w:t xml:space="preserve">and assessing the carbon tax that would lead to the desired emission pathway—albeit recognizing that countries will be implementing a wide variety of instruments to meet their goals, for example subsidizing </w:t>
      </w:r>
      <w:r w:rsidR="00D77295">
        <w:t xml:space="preserve">investments in </w:t>
      </w:r>
      <w:r>
        <w:t>clean energy, investing in energy efficiency,</w:t>
      </w:r>
      <w:r w:rsidR="00FE7B5C">
        <w:t xml:space="preserve"> reforming fossil fuel subsidies, imposing technical regulations,</w:t>
      </w:r>
      <w:r>
        <w:t xml:space="preserve"> etc</w:t>
      </w:r>
      <w:r w:rsidR="00DF09F8">
        <w:t>.</w:t>
      </w:r>
      <w:r w:rsidR="00FE7B5C">
        <w:t xml:space="preserve"> (</w:t>
      </w:r>
      <w:r w:rsidR="00A601E1">
        <w:t xml:space="preserve">Chepeliev and van der Mensbrugghe, 2020; </w:t>
      </w:r>
      <w:r w:rsidR="006559F4">
        <w:t xml:space="preserve">Gallaher et al., 2019; </w:t>
      </w:r>
      <w:proofErr w:type="spellStart"/>
      <w:r w:rsidR="00DF09F8" w:rsidRPr="00DF09F8">
        <w:t>Michaelowa</w:t>
      </w:r>
      <w:proofErr w:type="spellEnd"/>
      <w:r w:rsidR="00DF09F8">
        <w:t xml:space="preserve"> et al., 2018; </w:t>
      </w:r>
      <w:r w:rsidR="006559F4">
        <w:t>Vogt-Schilb and Hallegatte, 2017</w:t>
      </w:r>
      <w:r w:rsidR="00FE7B5C">
        <w:t>)</w:t>
      </w:r>
      <w:r>
        <w:t>.</w:t>
      </w:r>
      <w:r w:rsidR="006559F4">
        <w:t xml:space="preserve"> </w:t>
      </w:r>
      <w:r>
        <w:t xml:space="preserve"> </w:t>
      </w:r>
    </w:p>
    <w:p w14:paraId="1DD01C27" w14:textId="0377DA52" w:rsidR="00DF09F8" w:rsidRPr="00847EFD" w:rsidRDefault="008B2972" w:rsidP="00395B85">
      <w:r>
        <w:t>NDC interpretations also differ in terms of gas coverage. While some submissions include commitments for CO</w:t>
      </w:r>
      <w:r w:rsidRPr="005B2AB7">
        <w:rPr>
          <w:vertAlign w:val="subscript"/>
        </w:rPr>
        <w:t>2</w:t>
      </w:r>
      <w:r>
        <w:rPr>
          <w:vertAlign w:val="subscript"/>
        </w:rPr>
        <w:t xml:space="preserve"> </w:t>
      </w:r>
      <w:r>
        <w:t>emissions reduction from fossil fuels combustion only</w:t>
      </w:r>
      <w:r w:rsidR="006E359F">
        <w:t xml:space="preserve"> (in the limited set of sectors)</w:t>
      </w:r>
      <w:r>
        <w:t xml:space="preserve">, other </w:t>
      </w:r>
      <w:r w:rsidR="00B74047">
        <w:t>parties</w:t>
      </w:r>
      <w:r>
        <w:t xml:space="preserve"> committed to act on both CO</w:t>
      </w:r>
      <w:r w:rsidRPr="005B2AB7">
        <w:rPr>
          <w:vertAlign w:val="subscript"/>
        </w:rPr>
        <w:t>2</w:t>
      </w:r>
      <w:r>
        <w:t xml:space="preserve"> and non-CO</w:t>
      </w:r>
      <w:r w:rsidRPr="005B2AB7">
        <w:rPr>
          <w:vertAlign w:val="subscript"/>
        </w:rPr>
        <w:t>2</w:t>
      </w:r>
      <w:r>
        <w:t xml:space="preserve"> greenhouse gas emissions</w:t>
      </w:r>
      <w:r w:rsidR="006E359F">
        <w:t xml:space="preserve"> (UNFCCC, 2020)</w:t>
      </w:r>
      <w:r>
        <w:t>.</w:t>
      </w:r>
      <w:r w:rsidR="006E359F">
        <w:t xml:space="preserve"> </w:t>
      </w:r>
    </w:p>
    <w:p w14:paraId="78E59E7E" w14:textId="7F3BAEA6" w:rsidR="006E359F" w:rsidRDefault="00395B85" w:rsidP="00395B85">
      <w:r>
        <w:t>In this study, we will take as a starting point the commitments and the required tax on fossil fuel combustion that achieves the goal</w:t>
      </w:r>
      <w:r w:rsidR="00AB7E46">
        <w:t>, as well as add more stringent mitigation efforts consistent with limiting global warming below 2°C relative to the pre-industrial level</w:t>
      </w:r>
      <w:r>
        <w:t>.</w:t>
      </w:r>
      <w:r w:rsidR="006E359F">
        <w:rPr>
          <w:rStyle w:val="FootnoteReference"/>
        </w:rPr>
        <w:footnoteReference w:id="2"/>
      </w:r>
      <w:r>
        <w:t xml:space="preserve"> We will expand the set of instruments to </w:t>
      </w:r>
      <w:r w:rsidR="00D77295">
        <w:t>assess the impacts of reducing greenhouse gas emissions from sources other than fossil fuel combustion, notably methane emissions—largely derived from rice production, livestock, extractive industries and municipal waste—</w:t>
      </w:r>
      <w:r w:rsidR="000515BF">
        <w:t xml:space="preserve">nitrous oxide emissions that are largely agriculture-related, </w:t>
      </w:r>
      <w:r w:rsidR="00D77295">
        <w:t xml:space="preserve">and carbon emissions </w:t>
      </w:r>
      <w:r w:rsidR="000515BF">
        <w:t>linked</w:t>
      </w:r>
      <w:r w:rsidR="00D77295">
        <w:t xml:space="preserve"> to forestry. Studies have shown that these alternative policies can come at </w:t>
      </w:r>
      <w:r w:rsidR="000515BF">
        <w:t xml:space="preserve">a </w:t>
      </w:r>
      <w:r w:rsidR="00D77295">
        <w:t xml:space="preserve">lower </w:t>
      </w:r>
      <w:r w:rsidR="000515BF">
        <w:t xml:space="preserve">overall </w:t>
      </w:r>
      <w:r w:rsidR="00D77295">
        <w:t>economic cost than taxing fossil fuels, albeit may be more difficult to implement</w:t>
      </w:r>
      <w:r w:rsidR="00B74047">
        <w:t xml:space="preserve"> (van </w:t>
      </w:r>
      <w:proofErr w:type="spellStart"/>
      <w:r w:rsidR="00B74047">
        <w:t>Vuuren</w:t>
      </w:r>
      <w:proofErr w:type="spellEnd"/>
      <w:r w:rsidR="00B74047">
        <w:t xml:space="preserve"> et al., 2006)</w:t>
      </w:r>
      <w:r w:rsidR="00D77295">
        <w:t>.</w:t>
      </w:r>
      <w:r w:rsidR="006559F4">
        <w:t xml:space="preserve"> </w:t>
      </w:r>
    </w:p>
    <w:p w14:paraId="44BBB2E8" w14:textId="4235DC0B" w:rsidR="00847EFD" w:rsidRDefault="000515BF">
      <w:r>
        <w:t>T</w:t>
      </w:r>
      <w:r w:rsidR="00D77295">
        <w:t xml:space="preserve">hese </w:t>
      </w:r>
      <w:r>
        <w:t xml:space="preserve">alternative </w:t>
      </w:r>
      <w:r w:rsidR="00D77295">
        <w:t xml:space="preserve">sets of policies, while enhancing flexibility to achieve the Paris </w:t>
      </w:r>
      <w:r w:rsidR="00847EFD">
        <w:t xml:space="preserve">Agreement </w:t>
      </w:r>
      <w:r w:rsidR="00D77295">
        <w:t>targets, are likely to have a greater impact on land-use and food availability than the more focused tax on fossil fuels.</w:t>
      </w:r>
      <w:r w:rsidR="006E359F">
        <w:t xml:space="preserve"> </w:t>
      </w:r>
      <w:r w:rsidR="006E359F" w:rsidRPr="006E359F">
        <w:t>Reaching the climate change mitigation targets would also interact with other regional and global environmental constraints (planetary boundaries), such as land system change, freshwater use, biochemical flows and genetic diversity (Steffen et al., 2015). In some cases, climate change adaptation and mitigation policies could help to reduce the pressure on the environmental constraints (e.g. biodiversity)</w:t>
      </w:r>
      <w:proofErr w:type="gramStart"/>
      <w:r w:rsidR="006E359F" w:rsidRPr="006E359F">
        <w:t>,</w:t>
      </w:r>
      <w:proofErr w:type="gramEnd"/>
      <w:r w:rsidR="006E359F" w:rsidRPr="006E359F">
        <w:t xml:space="preserve"> while other planetary boundaries could face regressive impacts (e.g. biochemical flows).</w:t>
      </w:r>
      <w:r w:rsidR="006E359F">
        <w:t xml:space="preserve"> </w:t>
      </w:r>
      <w:r w:rsidR="00CA186C">
        <w:t>W</w:t>
      </w:r>
      <w:r w:rsidR="00847EFD">
        <w:t>e will explore such interactions by first assessing the impacts on the food systems and land use activities</w:t>
      </w:r>
      <w:r w:rsidR="00AD664D">
        <w:t xml:space="preserve"> </w:t>
      </w:r>
      <w:r w:rsidR="00C94C3A">
        <w:t>using</w:t>
      </w:r>
      <w:r w:rsidR="00AD664D">
        <w:t xml:space="preserve"> the multi-region computable general equilibrium framework</w:t>
      </w:r>
      <w:r w:rsidR="00847EFD">
        <w:t xml:space="preserve">. </w:t>
      </w:r>
      <w:r w:rsidR="00C94C3A">
        <w:t>I</w:t>
      </w:r>
      <w:r w:rsidR="00D77295">
        <w:t xml:space="preserve">mpacts on land-use will </w:t>
      </w:r>
      <w:r w:rsidR="00CA186C">
        <w:t>then be</w:t>
      </w:r>
      <w:r w:rsidR="00D77295">
        <w:t xml:space="preserve"> fed into downstream models to assess th</w:t>
      </w:r>
      <w:r>
        <w:t>e implications on w</w:t>
      </w:r>
      <w:r w:rsidR="005B2AB7">
        <w:t>ater use and nitrogen leaching.</w:t>
      </w:r>
      <w:r w:rsidR="00847EFD">
        <w:br w:type="page"/>
      </w:r>
    </w:p>
    <w:p w14:paraId="21B4B4AA" w14:textId="5B28AD65" w:rsidR="00DB49C0" w:rsidRDefault="00D65C66" w:rsidP="00395B85">
      <w:pPr>
        <w:rPr>
          <w:b/>
          <w:bCs/>
        </w:rPr>
      </w:pPr>
      <w:r w:rsidRPr="005B2AB7">
        <w:rPr>
          <w:b/>
          <w:bCs/>
        </w:rPr>
        <w:lastRenderedPageBreak/>
        <w:t>References</w:t>
      </w:r>
    </w:p>
    <w:p w14:paraId="3F5C5E57" w14:textId="7A021FB1" w:rsidR="00A601E1" w:rsidRDefault="00A601E1" w:rsidP="00A601E1">
      <w:r>
        <w:t xml:space="preserve">Chepeliev, M. and van der Mensbrugghe, D. 2020. Global fossil-fuel subsidy reform and Paris Agreement, Energy Economics, Volume 85, 2020, </w:t>
      </w:r>
      <w:hyperlink r:id="rId7" w:history="1">
        <w:r w:rsidRPr="007C4F4F">
          <w:rPr>
            <w:rStyle w:val="Hyperlink"/>
          </w:rPr>
          <w:t>https://doi.org/10.1016/j.eneco.2019.104598</w:t>
        </w:r>
      </w:hyperlink>
      <w:r>
        <w:t>.</w:t>
      </w:r>
    </w:p>
    <w:p w14:paraId="50669438" w14:textId="3ACA555D" w:rsidR="00A601E1" w:rsidRDefault="00A601E1" w:rsidP="00395B85">
      <w:proofErr w:type="spellStart"/>
      <w:r w:rsidRPr="005B2AB7">
        <w:rPr>
          <w:lang w:val="fr-FR"/>
        </w:rPr>
        <w:t>Gallagher</w:t>
      </w:r>
      <w:proofErr w:type="spellEnd"/>
      <w:r w:rsidRPr="005B2AB7">
        <w:rPr>
          <w:lang w:val="fr-FR"/>
        </w:rPr>
        <w:t xml:space="preserve">, K.S., Zhang, F., </w:t>
      </w:r>
      <w:proofErr w:type="spellStart"/>
      <w:r w:rsidRPr="005B2AB7">
        <w:rPr>
          <w:lang w:val="fr-FR"/>
        </w:rPr>
        <w:t>Orvis</w:t>
      </w:r>
      <w:proofErr w:type="spellEnd"/>
      <w:r w:rsidRPr="005B2AB7">
        <w:rPr>
          <w:lang w:val="fr-FR"/>
        </w:rPr>
        <w:t>, R. </w:t>
      </w:r>
      <w:r w:rsidRPr="005B2AB7">
        <w:rPr>
          <w:i/>
          <w:iCs/>
          <w:lang w:val="fr-FR"/>
        </w:rPr>
        <w:t>et al.</w:t>
      </w:r>
      <w:r w:rsidRPr="005B2AB7">
        <w:rPr>
          <w:lang w:val="fr-FR"/>
        </w:rPr>
        <w:t xml:space="preserve"> 2019. </w:t>
      </w:r>
      <w:r w:rsidRPr="00A601E1">
        <w:t>Assessing the Policy gaps for achieving China’s climate targets in the Paris Agreement. </w:t>
      </w:r>
      <w:r w:rsidRPr="00A601E1">
        <w:rPr>
          <w:i/>
          <w:iCs/>
        </w:rPr>
        <w:t xml:space="preserve">Nat </w:t>
      </w:r>
      <w:proofErr w:type="spellStart"/>
      <w:r w:rsidRPr="00A601E1">
        <w:rPr>
          <w:i/>
          <w:iCs/>
        </w:rPr>
        <w:t>Commun</w:t>
      </w:r>
      <w:proofErr w:type="spellEnd"/>
      <w:r w:rsidRPr="00A601E1">
        <w:t> </w:t>
      </w:r>
      <w:r w:rsidRPr="00A601E1">
        <w:rPr>
          <w:b/>
          <w:bCs/>
        </w:rPr>
        <w:t>10, </w:t>
      </w:r>
      <w:r w:rsidRPr="00A601E1">
        <w:t xml:space="preserve">1256 (2019). </w:t>
      </w:r>
      <w:hyperlink r:id="rId8" w:history="1">
        <w:r w:rsidRPr="007C4F4F">
          <w:rPr>
            <w:rStyle w:val="Hyperlink"/>
          </w:rPr>
          <w:t>https://doi.org/10.1038/s41467-019-09159-0</w:t>
        </w:r>
      </w:hyperlink>
    </w:p>
    <w:p w14:paraId="2BDBCE2D" w14:textId="7581BC39" w:rsidR="00DF09F8" w:rsidRDefault="00DF09F8" w:rsidP="00395B85">
      <w:proofErr w:type="spellStart"/>
      <w:r w:rsidRPr="00DF09F8">
        <w:t>Michaelowa</w:t>
      </w:r>
      <w:proofErr w:type="spellEnd"/>
      <w:r w:rsidRPr="00DF09F8">
        <w:t xml:space="preserve">, A., Allen, M., </w:t>
      </w:r>
      <w:r>
        <w:t>and</w:t>
      </w:r>
      <w:r w:rsidRPr="00DF09F8">
        <w:t> </w:t>
      </w:r>
      <w:proofErr w:type="spellStart"/>
      <w:r w:rsidRPr="00DF09F8">
        <w:t>Sha</w:t>
      </w:r>
      <w:proofErr w:type="spellEnd"/>
      <w:r w:rsidRPr="00DF09F8">
        <w:t>, F. 2018. Policy instruments for limiting global temperature rise to 1.5C – can humanity rise to the challenge? </w:t>
      </w:r>
      <w:r w:rsidRPr="00DF09F8">
        <w:rPr>
          <w:i/>
          <w:iCs/>
        </w:rPr>
        <w:t>Climate Policy</w:t>
      </w:r>
      <w:r w:rsidRPr="00DF09F8">
        <w:t>, </w:t>
      </w:r>
      <w:r w:rsidRPr="00DF09F8">
        <w:rPr>
          <w:i/>
          <w:iCs/>
        </w:rPr>
        <w:t>18</w:t>
      </w:r>
      <w:r w:rsidRPr="00DF09F8">
        <w:t xml:space="preserve">(3), 275–286. </w:t>
      </w:r>
      <w:proofErr w:type="spellStart"/>
      <w:r w:rsidRPr="00DF09F8">
        <w:t>doi</w:t>
      </w:r>
      <w:proofErr w:type="spellEnd"/>
      <w:r w:rsidRPr="00DF09F8">
        <w:t>: 10.1080/14693062.2018.1426977</w:t>
      </w:r>
    </w:p>
    <w:p w14:paraId="224451EB" w14:textId="1443FB26" w:rsidR="006E359F" w:rsidRDefault="006E359F" w:rsidP="00395B85">
      <w:proofErr w:type="spellStart"/>
      <w:r w:rsidRPr="006E359F">
        <w:t>Rogelj</w:t>
      </w:r>
      <w:proofErr w:type="spellEnd"/>
      <w:r w:rsidRPr="006E359F">
        <w:t xml:space="preserve"> et al. 2016. </w:t>
      </w:r>
      <w:r w:rsidRPr="005B2AB7">
        <w:t>Paris Agreement climate proposals need a boost to keep warming well below 2°C</w:t>
      </w:r>
      <w:r w:rsidRPr="006E359F">
        <w:t>. Nature 534: 631-639.</w:t>
      </w:r>
    </w:p>
    <w:p w14:paraId="30A4BB1E" w14:textId="32F6E988" w:rsidR="006E359F" w:rsidRDefault="006E359F" w:rsidP="00395B85">
      <w:r w:rsidRPr="006E359F">
        <w:t>Steffen et al. 2015. Planetary boundaries: guiding human development on a changing planet. Science 347: 736–746.</w:t>
      </w:r>
    </w:p>
    <w:p w14:paraId="4290E45E" w14:textId="50643DD3" w:rsidR="00D65C66" w:rsidRPr="005B2AB7" w:rsidRDefault="00D65C66" w:rsidP="00395B85">
      <w:pPr>
        <w:rPr>
          <w:lang w:val="fr-FR"/>
        </w:rPr>
      </w:pPr>
      <w:r w:rsidRPr="005B2AB7">
        <w:t>United Nations Framework Convention on Climate Change (UNFCCC), 20</w:t>
      </w:r>
      <w:r>
        <w:t>20</w:t>
      </w:r>
      <w:r w:rsidRPr="005B2AB7">
        <w:t>. Paris Agreement – Status of Ratification. </w:t>
      </w:r>
      <w:hyperlink r:id="rId9" w:tgtFrame="_blank" w:history="1">
        <w:r w:rsidRPr="005B2AB7">
          <w:rPr>
            <w:rStyle w:val="Hyperlink"/>
            <w:lang w:val="fr-FR"/>
          </w:rPr>
          <w:t>http://unfccc.int/paris_agreement/items/9444.php</w:t>
        </w:r>
      </w:hyperlink>
    </w:p>
    <w:p w14:paraId="3BA32850" w14:textId="16CF1DCD" w:rsidR="00B74047" w:rsidRDefault="00B74047" w:rsidP="00A601E1">
      <w:proofErr w:type="gramStart"/>
      <w:r w:rsidRPr="005B2AB7">
        <w:rPr>
          <w:lang w:val="fr-FR"/>
        </w:rPr>
        <w:t>van</w:t>
      </w:r>
      <w:proofErr w:type="gramEnd"/>
      <w:r w:rsidRPr="005B2AB7">
        <w:rPr>
          <w:lang w:val="fr-FR"/>
        </w:rPr>
        <w:t xml:space="preserve"> </w:t>
      </w:r>
      <w:proofErr w:type="spellStart"/>
      <w:r w:rsidRPr="005B2AB7">
        <w:rPr>
          <w:lang w:val="fr-FR"/>
        </w:rPr>
        <w:t>Vuuren</w:t>
      </w:r>
      <w:proofErr w:type="spellEnd"/>
      <w:r w:rsidRPr="005B2AB7">
        <w:rPr>
          <w:lang w:val="fr-FR"/>
        </w:rPr>
        <w:t xml:space="preserve">, D.P., </w:t>
      </w:r>
      <w:proofErr w:type="spellStart"/>
      <w:r w:rsidRPr="005B2AB7">
        <w:rPr>
          <w:lang w:val="fr-FR"/>
        </w:rPr>
        <w:t>Weynat</w:t>
      </w:r>
      <w:proofErr w:type="spellEnd"/>
      <w:r w:rsidRPr="005B2AB7">
        <w:rPr>
          <w:lang w:val="fr-FR"/>
        </w:rPr>
        <w:t xml:space="preserve">, J., de la </w:t>
      </w:r>
      <w:proofErr w:type="spellStart"/>
      <w:r w:rsidRPr="005B2AB7">
        <w:rPr>
          <w:lang w:val="fr-FR"/>
        </w:rPr>
        <w:t>Chesnaye</w:t>
      </w:r>
      <w:proofErr w:type="spellEnd"/>
      <w:r w:rsidRPr="005B2AB7">
        <w:rPr>
          <w:lang w:val="fr-FR"/>
        </w:rPr>
        <w:t xml:space="preserve">, F. 2006. </w:t>
      </w:r>
      <w:r w:rsidRPr="00B74047">
        <w:t>Multi-gas scenarios to stabilize radiative forcing. Energy Economics 28 (2006), 102-120.</w:t>
      </w:r>
    </w:p>
    <w:p w14:paraId="69F5D073" w14:textId="630B17F6" w:rsidR="00A601E1" w:rsidRDefault="00A601E1" w:rsidP="00A601E1">
      <w:r>
        <w:t>Vogt-Schilb, A</w:t>
      </w:r>
      <w:r w:rsidR="006559F4">
        <w:t>.</w:t>
      </w:r>
      <w:r>
        <w:t xml:space="preserve"> and Hallegatte, S. 2017. </w:t>
      </w:r>
      <w:r w:rsidRPr="005B2AB7">
        <w:t>Climate policies and nationally determined contributions: reconciling the needed ambition with the political economy</w:t>
      </w:r>
      <w:r>
        <w:t xml:space="preserve">. </w:t>
      </w:r>
      <w:r w:rsidRPr="00A601E1">
        <w:t xml:space="preserve">WIREs Energy Environ 2017, 6:e256. </w:t>
      </w:r>
      <w:proofErr w:type="spellStart"/>
      <w:r w:rsidRPr="00A601E1">
        <w:t>doi</w:t>
      </w:r>
      <w:proofErr w:type="spellEnd"/>
      <w:r w:rsidRPr="00A601E1">
        <w:t>: 10.1002/wene.256</w:t>
      </w:r>
    </w:p>
    <w:p w14:paraId="7E6E2355" w14:textId="77777777" w:rsidR="00A601E1" w:rsidRPr="00A601E1" w:rsidRDefault="00A601E1" w:rsidP="00A601E1">
      <w:pPr>
        <w:rPr>
          <w:b/>
          <w:bCs/>
        </w:rPr>
      </w:pPr>
    </w:p>
    <w:p w14:paraId="52E8289C" w14:textId="7AFB2913" w:rsidR="00DB49C0" w:rsidRDefault="00DB49C0" w:rsidP="00395B85"/>
    <w:sectPr w:rsidR="00DB4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B2AB" w14:textId="77777777" w:rsidR="00C71579" w:rsidRDefault="00C71579" w:rsidP="00D77295">
      <w:pPr>
        <w:spacing w:after="0" w:line="240" w:lineRule="auto"/>
      </w:pPr>
      <w:r>
        <w:separator/>
      </w:r>
    </w:p>
  </w:endnote>
  <w:endnote w:type="continuationSeparator" w:id="0">
    <w:p w14:paraId="5560D6EC" w14:textId="77777777" w:rsidR="00C71579" w:rsidRDefault="00C71579" w:rsidP="00D7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DA5C" w14:textId="77777777" w:rsidR="00C71579" w:rsidRDefault="00C71579" w:rsidP="00D77295">
      <w:pPr>
        <w:spacing w:after="0" w:line="240" w:lineRule="auto"/>
      </w:pPr>
      <w:r>
        <w:separator/>
      </w:r>
    </w:p>
  </w:footnote>
  <w:footnote w:type="continuationSeparator" w:id="0">
    <w:p w14:paraId="31A2C6F4" w14:textId="77777777" w:rsidR="00C71579" w:rsidRDefault="00C71579" w:rsidP="00D77295">
      <w:pPr>
        <w:spacing w:after="0" w:line="240" w:lineRule="auto"/>
      </w:pPr>
      <w:r>
        <w:continuationSeparator/>
      </w:r>
    </w:p>
  </w:footnote>
  <w:footnote w:id="1">
    <w:p w14:paraId="41D625DF" w14:textId="7C7E52A0" w:rsidR="00D77295" w:rsidRDefault="00D77295">
      <w:pPr>
        <w:pStyle w:val="FootnoteText"/>
      </w:pPr>
      <w:r>
        <w:rPr>
          <w:rStyle w:val="FootnoteReference"/>
        </w:rPr>
        <w:footnoteRef/>
      </w:r>
      <w:r>
        <w:t xml:space="preserve"> Though the United States has formally announced its intent to leave the Paris agreement, we will be assuming that it will eventually aim to achieve its original</w:t>
      </w:r>
      <w:r w:rsidR="000515BF">
        <w:t>ly announced emission target.</w:t>
      </w:r>
    </w:p>
  </w:footnote>
  <w:footnote w:id="2">
    <w:p w14:paraId="2C75DBF2" w14:textId="78DD26B2" w:rsidR="006E359F" w:rsidRDefault="006E359F">
      <w:pPr>
        <w:pStyle w:val="FootnoteText"/>
      </w:pPr>
      <w:r>
        <w:rPr>
          <w:rStyle w:val="FootnoteReference"/>
        </w:rPr>
        <w:footnoteRef/>
      </w:r>
      <w:r>
        <w:t xml:space="preserve"> Currently submitted NDC commitments are not consistent with </w:t>
      </w:r>
      <w:r w:rsidRPr="006E359F">
        <w:t>target of temperature increase well below 2</w:t>
      </w:r>
      <w:r w:rsidRPr="006E359F">
        <w:rPr>
          <w:vertAlign w:val="superscript"/>
        </w:rPr>
        <w:t>o</w:t>
      </w:r>
      <w:r>
        <w:t>C (</w:t>
      </w:r>
      <w:proofErr w:type="spellStart"/>
      <w:r w:rsidRPr="006E359F">
        <w:t>Rogelj</w:t>
      </w:r>
      <w:proofErr w:type="spellEnd"/>
      <w:r w:rsidRPr="006E359F">
        <w:t xml:space="preserve"> et al., 2016</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85"/>
    <w:rsid w:val="000515BF"/>
    <w:rsid w:val="000A42B4"/>
    <w:rsid w:val="00395B85"/>
    <w:rsid w:val="00424FAF"/>
    <w:rsid w:val="004D6E7D"/>
    <w:rsid w:val="005848AD"/>
    <w:rsid w:val="00590C87"/>
    <w:rsid w:val="005B2AB7"/>
    <w:rsid w:val="006559F4"/>
    <w:rsid w:val="006E359F"/>
    <w:rsid w:val="007C1CE9"/>
    <w:rsid w:val="008243EC"/>
    <w:rsid w:val="00847EFD"/>
    <w:rsid w:val="008B2972"/>
    <w:rsid w:val="009A75B2"/>
    <w:rsid w:val="009B5101"/>
    <w:rsid w:val="00A601E1"/>
    <w:rsid w:val="00AB7E46"/>
    <w:rsid w:val="00AD664D"/>
    <w:rsid w:val="00B01DB0"/>
    <w:rsid w:val="00B25B3E"/>
    <w:rsid w:val="00B74047"/>
    <w:rsid w:val="00BE477C"/>
    <w:rsid w:val="00C71579"/>
    <w:rsid w:val="00C94C3A"/>
    <w:rsid w:val="00CA186C"/>
    <w:rsid w:val="00D44F8D"/>
    <w:rsid w:val="00D51CF4"/>
    <w:rsid w:val="00D65C66"/>
    <w:rsid w:val="00D77295"/>
    <w:rsid w:val="00DB49C0"/>
    <w:rsid w:val="00DF09F8"/>
    <w:rsid w:val="00F76FBE"/>
    <w:rsid w:val="00F958DF"/>
    <w:rsid w:val="00FE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F564"/>
  <w15:chartTrackingRefBased/>
  <w15:docId w15:val="{3AA934A5-B561-42BB-8A9A-69904806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B85"/>
  </w:style>
  <w:style w:type="paragraph" w:styleId="Heading1">
    <w:name w:val="heading 1"/>
    <w:basedOn w:val="Normal"/>
    <w:next w:val="Normal"/>
    <w:link w:val="Heading1Char"/>
    <w:uiPriority w:val="9"/>
    <w:qFormat/>
    <w:rsid w:val="00A60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7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295"/>
    <w:rPr>
      <w:sz w:val="20"/>
      <w:szCs w:val="20"/>
    </w:rPr>
  </w:style>
  <w:style w:type="character" w:styleId="FootnoteReference">
    <w:name w:val="footnote reference"/>
    <w:basedOn w:val="DefaultParagraphFont"/>
    <w:uiPriority w:val="99"/>
    <w:semiHidden/>
    <w:unhideWhenUsed/>
    <w:rsid w:val="00D77295"/>
    <w:rPr>
      <w:vertAlign w:val="superscript"/>
    </w:rPr>
  </w:style>
  <w:style w:type="character" w:styleId="Hyperlink">
    <w:name w:val="Hyperlink"/>
    <w:basedOn w:val="DefaultParagraphFont"/>
    <w:uiPriority w:val="99"/>
    <w:unhideWhenUsed/>
    <w:rsid w:val="00DB49C0"/>
    <w:rPr>
      <w:color w:val="0563C1" w:themeColor="hyperlink"/>
      <w:u w:val="single"/>
    </w:rPr>
  </w:style>
  <w:style w:type="character" w:customStyle="1" w:styleId="UnresolvedMention">
    <w:name w:val="Unresolved Mention"/>
    <w:basedOn w:val="DefaultParagraphFont"/>
    <w:uiPriority w:val="99"/>
    <w:semiHidden/>
    <w:unhideWhenUsed/>
    <w:rsid w:val="00DB49C0"/>
    <w:rPr>
      <w:color w:val="605E5C"/>
      <w:shd w:val="clear" w:color="auto" w:fill="E1DFDD"/>
    </w:rPr>
  </w:style>
  <w:style w:type="character" w:customStyle="1" w:styleId="Heading1Char">
    <w:name w:val="Heading 1 Char"/>
    <w:basedOn w:val="DefaultParagraphFont"/>
    <w:link w:val="Heading1"/>
    <w:uiPriority w:val="9"/>
    <w:rsid w:val="00A601E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84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7154">
      <w:bodyDiv w:val="1"/>
      <w:marLeft w:val="0"/>
      <w:marRight w:val="0"/>
      <w:marTop w:val="0"/>
      <w:marBottom w:val="0"/>
      <w:divBdr>
        <w:top w:val="none" w:sz="0" w:space="0" w:color="auto"/>
        <w:left w:val="none" w:sz="0" w:space="0" w:color="auto"/>
        <w:bottom w:val="none" w:sz="0" w:space="0" w:color="auto"/>
        <w:right w:val="none" w:sz="0" w:space="0" w:color="auto"/>
      </w:divBdr>
    </w:div>
    <w:div w:id="17121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467-019-09159-0" TargetMode="External"/><Relationship Id="rId3" Type="http://schemas.openxmlformats.org/officeDocument/2006/relationships/settings" Target="settings.xml"/><Relationship Id="rId7" Type="http://schemas.openxmlformats.org/officeDocument/2006/relationships/hyperlink" Target="https://doi.org/10.1016/j.eneco.2019.1045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fccc.int/paris_agreement/items/944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A259-6072-4111-8D8C-9C481F14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van der Mensbrugghe</dc:creator>
  <cp:keywords/>
  <dc:description/>
  <cp:lastModifiedBy>Hertel, Thomas W.</cp:lastModifiedBy>
  <cp:revision>6</cp:revision>
  <dcterms:created xsi:type="dcterms:W3CDTF">2020-07-30T10:57:00Z</dcterms:created>
  <dcterms:modified xsi:type="dcterms:W3CDTF">2020-07-31T16:11:00Z</dcterms:modified>
</cp:coreProperties>
</file>